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彩虹小标宋" w:hAnsi="宋体" w:eastAsia="彩虹小标宋"/>
          <w:sz w:val="36"/>
          <w:szCs w:val="36"/>
        </w:rPr>
      </w:pPr>
      <w:r>
        <w:rPr>
          <w:rFonts w:hint="eastAsia" w:ascii="彩虹黑体" w:eastAsia="彩虹黑体"/>
          <w:sz w:val="32"/>
          <w:szCs w:val="32"/>
        </w:rPr>
        <w:t>附件3</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中国建设银行非银行支付机构快捷支付业务</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客户授权协议</w:t>
      </w:r>
    </w:p>
    <w:p>
      <w:pPr>
        <w:spacing w:line="360" w:lineRule="auto"/>
        <w:ind w:firstLine="480" w:firstLineChars="200"/>
        <w:rPr>
          <w:rFonts w:ascii="彩虹粗仿宋" w:hAnsi="宋体" w:eastAsia="彩虹粗仿宋"/>
          <w:sz w:val="24"/>
        </w:rPr>
      </w:pPr>
    </w:p>
    <w:p>
      <w:pPr>
        <w:ind w:firstLine="480" w:firstLineChars="200"/>
        <w:rPr>
          <w:rFonts w:ascii="彩虹粗仿宋" w:hAnsi="宋体" w:eastAsia="彩虹粗仿宋"/>
          <w:sz w:val="24"/>
        </w:rPr>
      </w:pPr>
      <w:r>
        <w:rPr>
          <w:rFonts w:hint="eastAsia" w:ascii="彩虹粗仿宋" w:hAnsi="宋体" w:eastAsia="彩虹粗仿宋"/>
          <w:sz w:val="24"/>
        </w:rPr>
        <w:t>甲方：个人客户</w:t>
      </w:r>
    </w:p>
    <w:p>
      <w:pPr>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乙方：中国建设银行股份有限公司湖南省分行</w:t>
      </w:r>
    </w:p>
    <w:p>
      <w:pPr>
        <w:ind w:firstLine="480" w:firstLineChars="200"/>
        <w:rPr>
          <w:rFonts w:ascii="彩虹粗仿宋" w:hAnsi="Arial" w:eastAsia="彩虹粗仿宋" w:cs="Arial"/>
          <w:kern w:val="0"/>
          <w:sz w:val="24"/>
          <w:szCs w:val="24"/>
        </w:rPr>
      </w:pPr>
    </w:p>
    <w:p>
      <w:pPr>
        <w:pStyle w:val="15"/>
        <w:numPr>
          <w:ilvl w:val="0"/>
          <w:numId w:val="1"/>
        </w:numPr>
        <w:ind w:firstLineChars="0"/>
        <w:rPr>
          <w:rFonts w:ascii="彩虹粗仿宋" w:hAnsi="宋体" w:eastAsia="彩虹粗仿宋"/>
          <w:sz w:val="24"/>
        </w:rPr>
      </w:pPr>
      <w:r>
        <w:rPr>
          <w:rFonts w:hint="eastAsia" w:ascii="彩虹粗仿宋" w:hAnsi="宋体" w:eastAsia="彩虹粗仿宋"/>
          <w:sz w:val="24"/>
        </w:rPr>
        <w:t>业务定义</w:t>
      </w:r>
    </w:p>
    <w:p>
      <w:pPr>
        <w:ind w:firstLine="480" w:firstLineChars="200"/>
        <w:rPr>
          <w:rFonts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ind w:firstLine="480" w:firstLineChars="200"/>
        <w:rPr>
          <w:rFonts w:ascii="彩虹粗仿宋" w:hAnsi="宋体" w:eastAsia="彩虹粗仿宋"/>
          <w:sz w:val="24"/>
        </w:rPr>
      </w:pPr>
      <w:r>
        <w:rPr>
          <w:rFonts w:hint="eastAsia" w:ascii="彩虹粗仿宋" w:hAnsi="宋体" w:eastAsia="彩虹粗仿宋"/>
          <w:sz w:val="24"/>
        </w:rPr>
        <w:t>支付机构：非银行支付机构（以下简称“支付机构”）是指依据中国人民银行《非金融机构支付服务管理办法》规定，取得《支付业务许可证》，获准办理互联网支付业务的非金融机构，本协议中指</w:t>
      </w:r>
      <w:r>
        <w:rPr>
          <w:rFonts w:hint="eastAsia" w:ascii="彩虹粗仿宋" w:hAnsi="Times New Roman" w:eastAsia="彩虹粗仿宋"/>
          <w:kern w:val="0"/>
          <w:sz w:val="24"/>
          <w:szCs w:val="24"/>
          <w:u w:val="single"/>
        </w:rPr>
        <w:t>宝付网络科技（上海）有限公司</w:t>
      </w:r>
      <w:r>
        <w:rPr>
          <w:rFonts w:hint="eastAsia" w:ascii="彩虹粗仿宋" w:hAnsi="宋体" w:eastAsia="彩虹粗仿宋"/>
          <w:sz w:val="24"/>
        </w:rPr>
        <w:t>。</w:t>
      </w:r>
    </w:p>
    <w:p>
      <w:pPr>
        <w:spacing w:line="360" w:lineRule="auto"/>
        <w:ind w:firstLine="480" w:firstLineChars="200"/>
        <w:rPr>
          <w:rFonts w:ascii="彩虹粗仿宋" w:hAnsi="宋体" w:eastAsia="彩虹粗仿宋"/>
          <w:sz w:val="24"/>
        </w:rPr>
      </w:pPr>
      <w:r>
        <w:rPr>
          <w:rFonts w:hint="eastAsia" w:ascii="彩虹粗仿宋" w:hAnsi="宋体" w:eastAsia="彩虹粗仿宋"/>
          <w:sz w:val="24"/>
        </w:rPr>
        <w:t>二级商户：因业务需要通过支付机构向甲方扣收款项的单位，既支付机构的二级商户，本协议中指</w:t>
      </w:r>
      <w:r>
        <w:rPr>
          <w:rFonts w:hint="eastAsia" w:ascii="彩虹粗仿宋" w:hAnsi="Times New Roman" w:eastAsia="彩虹粗仿宋"/>
          <w:kern w:val="0"/>
          <w:sz w:val="24"/>
          <w:szCs w:val="24"/>
          <w:u w:val="single"/>
        </w:rPr>
        <w:t xml:space="preserve">  </w:t>
      </w:r>
      <w:r>
        <w:rPr>
          <w:rFonts w:hint="eastAsia" w:ascii="彩虹粗仿宋" w:hAnsi="Times New Roman" w:eastAsia="彩虹粗仿宋"/>
          <w:kern w:val="0"/>
          <w:sz w:val="24"/>
          <w:szCs w:val="24"/>
          <w:u w:val="single"/>
          <w:lang w:eastAsia="zh-CN"/>
        </w:rPr>
        <w:t>（</w:t>
      </w:r>
      <w:r>
        <w:rPr>
          <w:rFonts w:hint="eastAsia" w:ascii="彩虹粗仿宋" w:hAnsi="Times New Roman" w:eastAsia="彩虹粗仿宋"/>
          <w:kern w:val="0"/>
          <w:sz w:val="24"/>
          <w:szCs w:val="24"/>
          <w:highlight w:val="yellow"/>
          <w:u w:val="single"/>
          <w:lang w:val="en-US" w:eastAsia="zh-CN"/>
        </w:rPr>
        <w:t>填写商户名称</w:t>
      </w:r>
      <w:r>
        <w:rPr>
          <w:rFonts w:hint="eastAsia" w:ascii="彩虹粗仿宋" w:hAnsi="Times New Roman" w:eastAsia="彩虹粗仿宋"/>
          <w:kern w:val="0"/>
          <w:sz w:val="24"/>
          <w:szCs w:val="24"/>
          <w:u w:val="single"/>
          <w:lang w:eastAsia="zh-CN"/>
        </w:rPr>
        <w:t>）</w:t>
      </w:r>
      <w:r>
        <w:rPr>
          <w:rFonts w:hint="eastAsia" w:ascii="彩虹粗仿宋" w:hAnsi="Times New Roman" w:eastAsia="彩虹粗仿宋"/>
          <w:kern w:val="0"/>
          <w:sz w:val="24"/>
          <w:szCs w:val="24"/>
          <w:u w:val="single"/>
        </w:rPr>
        <w:t xml:space="preserve">   </w:t>
      </w:r>
      <w:r>
        <w:rPr>
          <w:rFonts w:hint="eastAsia" w:ascii="彩虹粗仿宋" w:hAnsi="宋体" w:eastAsia="彩虹粗仿宋"/>
          <w:sz w:val="24"/>
        </w:rPr>
        <w:t>。</w:t>
      </w:r>
    </w:p>
    <w:p>
      <w:pPr>
        <w:ind w:firstLine="480" w:firstLineChars="200"/>
        <w:rPr>
          <w:rFonts w:ascii="彩虹粗仿宋" w:hAnsi="Arial" w:eastAsia="彩虹粗仿宋" w:cs="Arial"/>
          <w:b/>
          <w:bCs/>
          <w:kern w:val="0"/>
          <w:sz w:val="24"/>
          <w:szCs w:val="24"/>
        </w:rPr>
      </w:pPr>
      <w:r>
        <w:rPr>
          <w:rFonts w:hint="eastAsia" w:ascii="彩虹粗仿宋" w:hAnsi="宋体" w:eastAsia="彩虹粗仿宋"/>
          <w:sz w:val="24"/>
        </w:rPr>
        <w:t>快捷支付：快捷支付是指依托清算机构转接开展的，乙方</w:t>
      </w:r>
      <w:r>
        <w:rPr>
          <w:rFonts w:hint="eastAsia" w:ascii="彩虹粗仿宋" w:hAnsi="宋体" w:eastAsia="彩虹粗仿宋"/>
          <w:kern w:val="0"/>
          <w:sz w:val="24"/>
        </w:rPr>
        <w:t>（以及乙方总行的各分支机构）</w:t>
      </w:r>
      <w:r>
        <w:rPr>
          <w:rFonts w:hint="eastAsia" w:ascii="彩虹粗仿宋" w:hAnsi="宋体" w:eastAsia="彩虹粗仿宋"/>
          <w:sz w:val="24"/>
        </w:rPr>
        <w:t>作为甲方账户的开户机构，甲方对乙方进行授权后，支付机构向乙方发送支付指令，扣划甲方在乙方的账户资金并通过清算机构划转至支付机构，支付机构将资金结算至二级商户指定账户中的业务。</w:t>
      </w:r>
    </w:p>
    <w:p>
      <w:pPr>
        <w:ind w:firstLine="480" w:firstLineChars="200"/>
        <w:rPr>
          <w:rFonts w:ascii="彩虹粗仿宋" w:hAnsi="宋体" w:eastAsia="彩虹粗仿宋"/>
          <w:sz w:val="24"/>
        </w:rPr>
      </w:pPr>
      <w:r>
        <w:rPr>
          <w:rFonts w:hint="eastAsia" w:ascii="彩虹粗仿宋" w:hAnsi="宋体" w:eastAsia="彩虹粗仿宋"/>
          <w:sz w:val="24"/>
        </w:rPr>
        <w:t>第二条 甲方的权利和义务</w:t>
      </w:r>
    </w:p>
    <w:p>
      <w:pPr>
        <w:pStyle w:val="15"/>
        <w:numPr>
          <w:ilvl w:val="0"/>
          <w:numId w:val="2"/>
        </w:numPr>
        <w:ind w:firstLineChars="0"/>
        <w:rPr>
          <w:rFonts w:ascii="彩虹粗仿宋" w:hAnsi="宋体" w:eastAsia="彩虹粗仿宋"/>
          <w:b/>
          <w:sz w:val="24"/>
        </w:rPr>
      </w:pPr>
      <w:r>
        <w:rPr>
          <w:rFonts w:hint="eastAsia" w:ascii="彩虹粗仿宋" w:hAnsi="宋体" w:eastAsia="彩虹粗仿宋"/>
          <w:b/>
          <w:sz w:val="24"/>
        </w:rPr>
        <w:t>甲方应拥有乙方账户，并遵守乙方关于账户的章程与约定。</w:t>
      </w:r>
    </w:p>
    <w:p>
      <w:pPr>
        <w:pStyle w:val="15"/>
        <w:numPr>
          <w:ilvl w:val="0"/>
          <w:numId w:val="2"/>
        </w:numPr>
        <w:ind w:firstLineChars="0"/>
        <w:rPr>
          <w:rFonts w:ascii="彩虹粗仿宋" w:hAnsi="宋体" w:eastAsia="彩虹粗仿宋"/>
          <w:b/>
          <w:sz w:val="24"/>
        </w:rPr>
      </w:pPr>
      <w:r>
        <w:rPr>
          <w:rFonts w:ascii="彩虹粗仿宋" w:hAnsi="宋体" w:eastAsia="彩虹粗仿宋"/>
          <w:b/>
          <w:sz w:val="24"/>
        </w:rPr>
        <w:t>甲方完成快捷支付签约，即授权指定的支付机构从甲方指定账户中按照二级商户指令扣划本人应付款项。</w:t>
      </w:r>
    </w:p>
    <w:p>
      <w:pPr>
        <w:pStyle w:val="15"/>
        <w:numPr>
          <w:ilvl w:val="0"/>
          <w:numId w:val="2"/>
        </w:numPr>
        <w:spacing w:line="360" w:lineRule="auto"/>
        <w:ind w:firstLineChars="0"/>
        <w:rPr>
          <w:rFonts w:ascii="彩虹粗仿宋" w:hAnsi="宋体" w:eastAsia="彩虹粗仿宋"/>
          <w:b/>
          <w:bCs/>
          <w:sz w:val="24"/>
        </w:rPr>
      </w:pPr>
      <w:r>
        <w:rPr>
          <w:rFonts w:hint="eastAsia" w:ascii="彩虹粗仿宋" w:hAnsi="宋体" w:eastAsia="彩虹粗仿宋"/>
          <w:b/>
          <w:bCs/>
          <w:sz w:val="24"/>
        </w:rPr>
        <w:t>针对二级商户【还款】场景下业务，乙方作为甲方账户的开户机构，甲方对乙方授权后，乙方根据支付机构向乙方转发的固定收款人、固定周期的扣款指令，从甲方账户进行扣款，由支付机构将扣款金额划转至支付机构二级商户指定账户的</w:t>
      </w:r>
      <w:r>
        <w:rPr>
          <w:rFonts w:hint="eastAsia" w:ascii="彩虹粗仿宋" w:hAnsi="宋体" w:eastAsia="彩虹粗仿宋"/>
          <w:b/>
          <w:bCs/>
          <w:sz w:val="24"/>
          <w:lang w:eastAsia="zh-CN"/>
        </w:rPr>
        <w:t>业务</w:t>
      </w:r>
      <w:r>
        <w:rPr>
          <w:rFonts w:hint="eastAsia" w:ascii="彩虹粗仿宋" w:hAnsi="宋体" w:eastAsia="彩虹粗仿宋"/>
          <w:b/>
          <w:bCs/>
          <w:sz w:val="24"/>
        </w:rPr>
        <w:t>。甲方授权内容如下：</w:t>
      </w:r>
    </w:p>
    <w:p>
      <w:pPr>
        <w:pStyle w:val="15"/>
        <w:spacing w:line="360" w:lineRule="auto"/>
        <w:ind w:left="840" w:firstLine="0" w:firstLineChars="0"/>
        <w:rPr>
          <w:rFonts w:hint="eastAsia" w:ascii="彩虹粗仿宋" w:hAnsi="宋体" w:eastAsia="彩虹粗仿宋"/>
          <w:b/>
          <w:bCs/>
          <w:sz w:val="24"/>
          <w:lang w:eastAsia="zh-CN"/>
        </w:rPr>
      </w:pPr>
      <w:r>
        <w:rPr>
          <w:rFonts w:hint="eastAsia" w:ascii="彩虹粗仿宋" w:hAnsi="宋体" w:eastAsia="彩虹粗仿宋"/>
          <w:b/>
          <w:bCs/>
          <w:sz w:val="24"/>
        </w:rPr>
        <w:t>（1）收款人名称：以支</w:t>
      </w:r>
      <w:bookmarkStart w:id="0" w:name="_GoBack"/>
      <w:bookmarkEnd w:id="0"/>
      <w:r>
        <w:rPr>
          <w:rFonts w:hint="eastAsia" w:ascii="彩虹粗仿宋" w:hAnsi="宋体" w:eastAsia="彩虹粗仿宋"/>
          <w:b/>
          <w:bCs/>
          <w:sz w:val="24"/>
        </w:rPr>
        <w:t>付机构转发的指令为准</w:t>
      </w:r>
    </w:p>
    <w:p>
      <w:pPr>
        <w:pStyle w:val="15"/>
        <w:spacing w:line="360" w:lineRule="auto"/>
        <w:ind w:left="840" w:firstLine="0" w:firstLineChars="0"/>
        <w:rPr>
          <w:rFonts w:hint="eastAsia" w:ascii="彩虹粗仿宋" w:hAnsi="宋体" w:eastAsia="彩虹粗仿宋"/>
          <w:b/>
          <w:bCs/>
          <w:sz w:val="24"/>
          <w:lang w:eastAsia="zh-CN"/>
        </w:rPr>
      </w:pPr>
      <w:r>
        <w:rPr>
          <w:rFonts w:hint="eastAsia" w:ascii="彩虹粗仿宋" w:hAnsi="宋体" w:eastAsia="彩虹粗仿宋"/>
          <w:b/>
          <w:bCs/>
          <w:sz w:val="24"/>
        </w:rPr>
        <w:t>（2）支付款项用途： 本息及各类费用支付</w:t>
      </w:r>
    </w:p>
    <w:p>
      <w:pPr>
        <w:pStyle w:val="15"/>
        <w:spacing w:line="360" w:lineRule="auto"/>
        <w:ind w:left="840" w:firstLine="0" w:firstLineChars="0"/>
        <w:rPr>
          <w:rFonts w:hint="eastAsia" w:ascii="彩虹粗仿宋" w:hAnsi="宋体" w:eastAsia="彩虹粗仿宋"/>
          <w:b/>
          <w:bCs/>
          <w:sz w:val="24"/>
          <w:lang w:eastAsia="zh-CN"/>
        </w:rPr>
      </w:pPr>
      <w:r>
        <w:rPr>
          <w:rFonts w:hint="eastAsia" w:ascii="彩虹粗仿宋" w:hAnsi="宋体" w:eastAsia="彩虹粗仿宋"/>
          <w:b/>
          <w:bCs/>
          <w:sz w:val="24"/>
        </w:rPr>
        <w:t>（3）扣款时间： 以支付机构转发的指令为准</w:t>
      </w:r>
    </w:p>
    <w:p>
      <w:pPr>
        <w:pStyle w:val="15"/>
        <w:spacing w:line="360" w:lineRule="auto"/>
        <w:ind w:left="840" w:firstLine="0" w:firstLineChars="0"/>
        <w:rPr>
          <w:rFonts w:hint="eastAsia" w:ascii="彩虹粗仿宋" w:hAnsi="宋体" w:eastAsia="彩虹粗仿宋"/>
          <w:b/>
          <w:bCs/>
          <w:sz w:val="24"/>
          <w:lang w:eastAsia="zh-CN"/>
        </w:rPr>
      </w:pPr>
      <w:r>
        <w:rPr>
          <w:rFonts w:hint="eastAsia" w:ascii="彩虹粗仿宋" w:hAnsi="宋体" w:eastAsia="彩虹粗仿宋"/>
          <w:b/>
          <w:bCs/>
          <w:sz w:val="24"/>
        </w:rPr>
        <w:t>（4）授权期限： 至甲方解绑银行卡之时</w:t>
      </w:r>
    </w:p>
    <w:p>
      <w:pPr>
        <w:pStyle w:val="15"/>
        <w:spacing w:line="360" w:lineRule="auto"/>
        <w:ind w:left="840" w:firstLine="0" w:firstLineChars="0"/>
        <w:rPr>
          <w:rFonts w:hint="eastAsia" w:ascii="彩虹粗仿宋" w:hAnsi="宋体" w:eastAsia="彩虹粗仿宋"/>
          <w:b/>
          <w:bCs/>
          <w:sz w:val="24"/>
          <w:lang w:eastAsia="zh-CN"/>
        </w:rPr>
      </w:pPr>
      <w:r>
        <w:rPr>
          <w:rFonts w:hint="eastAsia" w:ascii="彩虹粗仿宋" w:hAnsi="宋体" w:eastAsia="彩虹粗仿宋"/>
          <w:b/>
          <w:bCs/>
          <w:sz w:val="24"/>
        </w:rPr>
        <w:t>（5）交易限额： 以支付机构转发的指令为准</w:t>
      </w:r>
    </w:p>
    <w:p>
      <w:pPr>
        <w:pStyle w:val="15"/>
        <w:ind w:left="480" w:firstLine="482"/>
        <w:rPr>
          <w:rFonts w:ascii="彩虹粗仿宋" w:hAnsi="宋体" w:eastAsia="彩虹粗仿宋"/>
          <w:sz w:val="24"/>
        </w:rPr>
      </w:pPr>
      <w:r>
        <w:rPr>
          <w:rFonts w:hint="eastAsia" w:ascii="彩虹粗仿宋" w:hAnsi="宋体" w:eastAsia="彩虹粗仿宋"/>
          <w:b/>
          <w:sz w:val="24"/>
        </w:rPr>
        <w:t>甲方与二级商户签订合法有效的协议、再完成绑卡签约，即视为甲方明确授权同意支付机构按照甲方与二级商户协议约定向甲方指定银行账户发起资金扣划，乙方无需再与甲方逐笔进行交易确认。</w:t>
      </w:r>
    </w:p>
    <w:p>
      <w:pPr>
        <w:pStyle w:val="15"/>
        <w:numPr>
          <w:ilvl w:val="0"/>
          <w:numId w:val="2"/>
        </w:numPr>
        <w:ind w:firstLineChars="0"/>
        <w:rPr>
          <w:rFonts w:ascii="彩虹粗仿宋" w:hAnsi="宋体" w:eastAsia="彩虹粗仿宋"/>
          <w:b/>
          <w:sz w:val="24"/>
        </w:rPr>
      </w:pPr>
      <w:r>
        <w:rPr>
          <w:rFonts w:hint="eastAsia" w:ascii="彩虹粗仿宋" w:hAnsi="宋体" w:eastAsia="彩虹粗仿宋"/>
          <w:b/>
          <w:sz w:val="24"/>
        </w:rPr>
        <w:t>如甲方对乙方依据支付机构转发指令进行扣款的行为发生争议（包括扣款金额、产品或服务质量等），应与为其提交授权信息的支付机构或二级商户协商解决，乙方不承担任何责任。</w:t>
      </w:r>
    </w:p>
    <w:p>
      <w:pPr>
        <w:pStyle w:val="15"/>
        <w:numPr>
          <w:ilvl w:val="0"/>
          <w:numId w:val="2"/>
        </w:numPr>
        <w:ind w:firstLineChars="0"/>
        <w:rPr>
          <w:rFonts w:ascii="彩虹粗仿宋" w:hAnsi="宋体" w:eastAsia="彩虹粗仿宋"/>
          <w:sz w:val="24"/>
        </w:rPr>
      </w:pPr>
      <w:r>
        <w:rPr>
          <w:rFonts w:hint="eastAsia" w:ascii="彩虹粗仿宋" w:hAnsi="宋体" w:eastAsia="彩虹粗仿宋"/>
          <w:b/>
          <w:sz w:val="24"/>
        </w:rPr>
        <w:t>甲方应严格遵守乙方有关账户安全管理规定，不得将本人账户相关密码、短信验证码等重要信息向他人透露，否则由此导致的损失由甲方承担。</w:t>
      </w:r>
    </w:p>
    <w:p>
      <w:pPr>
        <w:pStyle w:val="15"/>
        <w:ind w:left="840" w:firstLine="0" w:firstLineChars="0"/>
        <w:rPr>
          <w:rFonts w:ascii="彩虹粗仿宋" w:hAnsi="宋体" w:eastAsia="彩虹粗仿宋"/>
          <w:b/>
          <w:sz w:val="24"/>
        </w:rPr>
      </w:pPr>
      <w:r>
        <w:rPr>
          <w:rFonts w:hint="eastAsia" w:ascii="彩虹粗仿宋" w:hAnsi="宋体" w:eastAsia="彩虹粗仿宋"/>
          <w:b/>
          <w:sz w:val="24"/>
        </w:rPr>
        <w:t>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pPr>
        <w:pStyle w:val="15"/>
        <w:numPr>
          <w:ilvl w:val="0"/>
          <w:numId w:val="2"/>
        </w:numPr>
        <w:ind w:firstLineChars="0"/>
        <w:rPr>
          <w:rFonts w:ascii="彩虹粗仿宋" w:hAnsi="宋体" w:eastAsia="彩虹粗仿宋"/>
          <w:b/>
          <w:sz w:val="24"/>
        </w:rPr>
      </w:pPr>
      <w:r>
        <w:rPr>
          <w:rFonts w:hint="eastAsia" w:ascii="彩虹粗仿宋" w:hAnsi="宋体" w:eastAsia="彩虹粗仿宋"/>
          <w:b/>
          <w:sz w:val="24"/>
        </w:rPr>
        <w:t>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pPr>
        <w:pStyle w:val="15"/>
        <w:numPr>
          <w:ilvl w:val="0"/>
          <w:numId w:val="2"/>
        </w:numPr>
        <w:ind w:firstLineChars="0"/>
        <w:rPr>
          <w:rFonts w:ascii="彩虹粗仿宋" w:hAnsi="宋体" w:eastAsia="彩虹粗仿宋"/>
          <w:b/>
          <w:sz w:val="24"/>
        </w:rPr>
      </w:pPr>
      <w:r>
        <w:rPr>
          <w:rFonts w:hint="eastAsia" w:ascii="彩虹粗仿宋" w:hAnsi="宋体" w:eastAsia="彩虹粗仿宋"/>
          <w:b/>
          <w:sz w:val="24"/>
        </w:rPr>
        <w:t>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pPr>
        <w:pStyle w:val="15"/>
        <w:numPr>
          <w:ilvl w:val="0"/>
          <w:numId w:val="2"/>
        </w:numPr>
        <w:ind w:firstLineChars="0"/>
        <w:rPr>
          <w:rFonts w:ascii="彩虹粗仿宋" w:hAnsi="宋体" w:eastAsia="彩虹粗仿宋"/>
          <w:sz w:val="24"/>
        </w:rPr>
      </w:pPr>
      <w:r>
        <w:rPr>
          <w:rFonts w:hint="eastAsia" w:ascii="彩虹粗仿宋" w:hAnsi="宋体" w:eastAsia="彩虹粗仿宋"/>
          <w:b/>
          <w:sz w:val="24"/>
        </w:rPr>
        <w:t>甲方不得利用“快捷支付”业务进行套现、虚假交易、洗钱等违法行为，有义务配合乙方进行相关调查。</w:t>
      </w:r>
      <w:r>
        <w:rPr>
          <w:rFonts w:hint="eastAsia" w:ascii="彩虹粗仿宋" w:hAnsi="宋体" w:eastAsia="彩虹粗仿宋"/>
          <w:sz w:val="24"/>
        </w:rPr>
        <w:t>如若甲方拒绝配合进行相关调查或乙方认为存在或涉嫌虚假交易、洗钱、套现或任何其他非法活动、欺诈或违反诚信原则的行为、或违反本协议约定的，</w:t>
      </w:r>
      <w:r>
        <w:rPr>
          <w:rFonts w:hint="eastAsia" w:ascii="彩虹粗仿宋" w:hAnsi="宋体" w:eastAsia="彩虹粗仿宋"/>
          <w:b/>
          <w:sz w:val="24"/>
        </w:rPr>
        <w:t>乙方有权采取以下一种、多种或全部措施：</w:t>
      </w:r>
      <w:r>
        <w:rPr>
          <w:rFonts w:hint="eastAsia" w:ascii="彩虹粗仿宋" w:hAnsi="宋体" w:eastAsia="彩虹粗仿宋"/>
          <w:sz w:val="24"/>
        </w:rPr>
        <w:t>（1）暂停或终止提供本协议项下“快捷支付”服务；（2）终止本协议；（3）取消甲方的用卡资格。若因甲方的前述行为而给乙方造成损失的，甲方应负责赔偿并承担法律责任。</w:t>
      </w:r>
    </w:p>
    <w:p>
      <w:pPr>
        <w:pStyle w:val="15"/>
        <w:numPr>
          <w:ilvl w:val="0"/>
          <w:numId w:val="2"/>
        </w:numPr>
        <w:ind w:firstLineChars="0"/>
        <w:rPr>
          <w:rFonts w:ascii="彩虹粗仿宋" w:hAnsi="宋体" w:eastAsia="彩虹粗仿宋"/>
          <w:b/>
          <w:sz w:val="24"/>
        </w:rPr>
      </w:pPr>
      <w:r>
        <w:rPr>
          <w:rFonts w:ascii="彩虹粗仿宋" w:hAnsi="宋体" w:eastAsia="彩虹粗仿宋"/>
          <w:b/>
          <w:sz w:val="24"/>
        </w:rPr>
        <w:t>交易信息提示：</w:t>
      </w:r>
      <w:r>
        <w:rPr>
          <w:rFonts w:hint="eastAsia" w:ascii="彩虹粗仿宋" w:hAnsi="宋体" w:eastAsia="彩虹粗仿宋"/>
          <w:b/>
          <w:sz w:val="24"/>
        </w:rPr>
        <w:t>乙方</w:t>
      </w:r>
      <w:r>
        <w:rPr>
          <w:rFonts w:ascii="彩虹粗仿宋" w:hAnsi="宋体" w:eastAsia="彩虹粗仿宋"/>
          <w:b/>
          <w:sz w:val="24"/>
        </w:rPr>
        <w:t>通过短信、客户端消息推送或账单信息展示等方式向</w:t>
      </w:r>
      <w:r>
        <w:rPr>
          <w:rFonts w:hint="eastAsia" w:ascii="彩虹粗仿宋" w:hAnsi="宋体" w:eastAsia="彩虹粗仿宋"/>
          <w:b/>
          <w:sz w:val="24"/>
        </w:rPr>
        <w:t>甲方展示其交易信息，乙方通过以上任何方式之一或全部进行交易信息提示均视为甲方已获得交易信息提示。交易信息具体的提示内容以支付机构向乙方传送的数据为准。</w:t>
      </w:r>
    </w:p>
    <w:p>
      <w:pPr>
        <w:ind w:left="480"/>
        <w:rPr>
          <w:rFonts w:ascii="彩虹粗仿宋" w:hAnsi="宋体" w:eastAsia="彩虹粗仿宋"/>
          <w:sz w:val="24"/>
        </w:rPr>
      </w:pPr>
      <w:r>
        <w:rPr>
          <w:rFonts w:hint="eastAsia" w:ascii="彩虹粗仿宋" w:hAnsi="宋体" w:eastAsia="彩虹粗仿宋"/>
          <w:sz w:val="24"/>
        </w:rPr>
        <w:t>第三条 乙方的权利和义务</w:t>
      </w:r>
    </w:p>
    <w:p>
      <w:pPr>
        <w:ind w:firstLine="480" w:firstLineChars="200"/>
        <w:rPr>
          <w:rFonts w:ascii="彩虹粗仿宋" w:hAnsi="宋体" w:eastAsia="彩虹粗仿宋"/>
          <w:b/>
          <w:sz w:val="24"/>
        </w:rPr>
      </w:pPr>
      <w:r>
        <w:rPr>
          <w:rFonts w:hint="eastAsia" w:ascii="彩虹粗仿宋" w:hAnsi="宋体" w:eastAsia="彩虹粗仿宋"/>
          <w:b/>
          <w:sz w:val="24"/>
        </w:rPr>
        <w:t>1.乙方根据甲方的授权和支付机构向乙方转发的支付扣款指令及支付扣款数据，直接从甲方指定的银行账号中扣缴相关费用至支付机构指定账户。</w:t>
      </w:r>
    </w:p>
    <w:p>
      <w:pPr>
        <w:ind w:firstLine="480" w:firstLineChars="200"/>
        <w:rPr>
          <w:rFonts w:ascii="彩虹粗仿宋" w:hAnsi="宋体" w:eastAsia="彩虹粗仿宋"/>
          <w:b/>
          <w:sz w:val="24"/>
        </w:rPr>
      </w:pPr>
      <w:r>
        <w:rPr>
          <w:rFonts w:hint="eastAsia" w:ascii="彩虹粗仿宋" w:hAnsi="宋体" w:eastAsia="彩虹粗仿宋"/>
          <w:b/>
          <w:sz w:val="24"/>
        </w:rPr>
        <w:t>2.乙方为保护资金安全，控制业务风险，可根据业务发展需要设置或修改支付限额。</w:t>
      </w:r>
    </w:p>
    <w:p>
      <w:pPr>
        <w:ind w:firstLine="480" w:firstLineChars="200"/>
        <w:rPr>
          <w:rFonts w:ascii="彩虹粗仿宋" w:hAnsi="宋体" w:eastAsia="彩虹粗仿宋"/>
          <w:sz w:val="24"/>
        </w:rPr>
      </w:pPr>
      <w:r>
        <w:rPr>
          <w:rFonts w:hint="eastAsia" w:ascii="彩虹粗仿宋" w:hAnsi="宋体" w:eastAsia="彩虹粗仿宋"/>
          <w:b/>
          <w:sz w:val="24"/>
        </w:rPr>
        <w:t>3.乙方有权随时变更甲方开通快捷支付后通过乙方进行电子支付时的身份验证方式，</w:t>
      </w:r>
      <w:r>
        <w:rPr>
          <w:rFonts w:hint="eastAsia" w:ascii="彩虹粗仿宋" w:hAnsi="宋体" w:eastAsia="彩虹粗仿宋"/>
          <w:sz w:val="24"/>
        </w:rPr>
        <w:t>例如乙方可要求甲方在选择快捷支付时应当通过乙方网上银行或账号验证，或者使用网银盾或者短信验证码等方式作为校验标准。</w:t>
      </w:r>
    </w:p>
    <w:p>
      <w:pPr>
        <w:ind w:firstLine="480" w:firstLineChars="200"/>
        <w:rPr>
          <w:rFonts w:ascii="彩虹粗仿宋" w:hAnsi="宋体" w:eastAsia="彩虹粗仿宋"/>
          <w:b/>
          <w:sz w:val="24"/>
        </w:rPr>
      </w:pPr>
      <w:r>
        <w:rPr>
          <w:rFonts w:hint="eastAsia" w:ascii="彩虹粗仿宋" w:hAnsi="宋体" w:eastAsia="彩虹粗仿宋"/>
          <w:b/>
          <w:sz w:val="24"/>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彩虹粗仿宋" w:hAnsi="宋体" w:eastAsia="彩虹粗仿宋"/>
          <w:sz w:val="24"/>
        </w:rPr>
        <w:t>如有需要，乙方将在公告前报经有关金融监管部门核准或备案；</w:t>
      </w:r>
      <w:r>
        <w:rPr>
          <w:rFonts w:hint="eastAsia" w:ascii="彩虹粗仿宋" w:hAnsi="宋体" w:eastAsia="彩虹粗仿宋"/>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ind w:firstLine="480" w:firstLineChars="200"/>
        <w:rPr>
          <w:rFonts w:ascii="彩虹粗仿宋" w:hAnsi="宋体" w:eastAsia="彩虹粗仿宋"/>
          <w:b/>
          <w:sz w:val="24"/>
        </w:rPr>
      </w:pPr>
      <w:r>
        <w:rPr>
          <w:rFonts w:hint="eastAsia" w:ascii="彩虹粗仿宋" w:hAnsi="宋体" w:eastAsia="彩虹粗仿宋"/>
          <w:b/>
          <w:sz w:val="24"/>
        </w:rPr>
        <w:t>5.甲方授权二级商户发送支付指令即表示甲方拥有真实的支付意愿，且该指令不可变更或撤销。</w:t>
      </w:r>
    </w:p>
    <w:p>
      <w:pPr>
        <w:ind w:firstLine="480" w:firstLineChars="200"/>
        <w:rPr>
          <w:rFonts w:ascii="彩虹粗仿宋" w:hAnsi="宋体" w:eastAsia="彩虹粗仿宋"/>
          <w:sz w:val="24"/>
        </w:rPr>
      </w:pPr>
      <w:r>
        <w:rPr>
          <w:rFonts w:hint="eastAsia" w:ascii="彩虹粗仿宋" w:hAnsi="宋体" w:eastAsia="彩虹粗仿宋"/>
          <w:sz w:val="24"/>
        </w:rPr>
        <w:t>第四条 特别约定条款</w:t>
      </w:r>
    </w:p>
    <w:p>
      <w:pPr>
        <w:ind w:firstLine="480" w:firstLineChars="200"/>
        <w:rPr>
          <w:rFonts w:ascii="彩虹粗仿宋" w:hAnsi="宋体" w:eastAsia="彩虹粗仿宋"/>
          <w:b/>
          <w:sz w:val="24"/>
        </w:rPr>
      </w:pPr>
      <w:r>
        <w:rPr>
          <w:rFonts w:hint="eastAsia" w:ascii="彩虹粗仿宋" w:hAnsi="宋体" w:eastAsia="彩虹粗仿宋"/>
          <w:sz w:val="24"/>
        </w:rPr>
        <w:t>1.甲方承诺在指定的乙方付款账户中保留足够的余额，并保持账户处于正常状态。</w:t>
      </w:r>
      <w:r>
        <w:rPr>
          <w:rFonts w:hint="eastAsia" w:ascii="彩虹粗仿宋" w:hAnsi="宋体" w:eastAsia="彩虹粗仿宋"/>
          <w:b/>
          <w:sz w:val="24"/>
        </w:rPr>
        <w:t>因付款账户余额不足、账户被冻结、销户等原因而导致的无法成功支付费用及所造成的纠纷和违约责任、损失等法律后果由甲方承担。</w:t>
      </w:r>
    </w:p>
    <w:p>
      <w:pPr>
        <w:ind w:firstLine="480" w:firstLineChars="200"/>
        <w:rPr>
          <w:rFonts w:ascii="彩虹粗仿宋" w:hAnsi="宋体" w:eastAsia="彩虹粗仿宋"/>
          <w:b/>
          <w:sz w:val="24"/>
        </w:rPr>
      </w:pPr>
      <w:r>
        <w:rPr>
          <w:rFonts w:hint="eastAsia" w:ascii="彩虹粗仿宋" w:hAnsi="宋体" w:eastAsia="彩虹粗仿宋"/>
          <w:sz w:val="24"/>
        </w:rPr>
        <w:t>2.乙方仅为甲方提供支付结算服务，依据支付机构转发的交易指令实施资金扣划。</w:t>
      </w:r>
      <w:r>
        <w:rPr>
          <w:rFonts w:hint="eastAsia" w:ascii="彩虹粗仿宋" w:hAnsi="宋体" w:eastAsia="彩虹粗仿宋"/>
          <w:b/>
          <w:sz w:val="24"/>
        </w:rPr>
        <w:t>甲方承诺：对于因购买商品或服务而产生的关于商品、服务及费用扣收的争议由甲方与支付机构及</w:t>
      </w:r>
      <w:r>
        <w:rPr>
          <w:rFonts w:ascii="彩虹粗仿宋" w:hAnsi="宋体" w:eastAsia="彩虹粗仿宋"/>
          <w:b/>
          <w:sz w:val="24"/>
        </w:rPr>
        <w:t>二级商户</w:t>
      </w:r>
      <w:r>
        <w:rPr>
          <w:rFonts w:hint="eastAsia" w:ascii="彩虹粗仿宋" w:hAnsi="宋体" w:eastAsia="彩虹粗仿宋"/>
          <w:b/>
          <w:sz w:val="24"/>
        </w:rPr>
        <w:t>自行协商解决。如因支付机构原因产生的风险事件，由甲方与支付机构协商解决。</w:t>
      </w:r>
    </w:p>
    <w:p>
      <w:pPr>
        <w:ind w:firstLine="480" w:firstLineChars="200"/>
        <w:rPr>
          <w:rFonts w:ascii="彩虹粗仿宋" w:hAnsi="宋体" w:eastAsia="彩虹粗仿宋"/>
          <w:b/>
          <w:sz w:val="24"/>
        </w:rPr>
      </w:pPr>
      <w:r>
        <w:rPr>
          <w:rFonts w:hint="eastAsia" w:ascii="彩虹粗仿宋" w:hAnsi="宋体" w:eastAsia="彩虹粗仿宋"/>
          <w:b/>
          <w:sz w:val="24"/>
        </w:rPr>
        <w:t>3.乙方接收到的扣款指令信息不明确、不完整、不清晰或无法辨认，导致乙方无法扣款的，乙方不承担责任，由甲方与支付机构协商解决。</w:t>
      </w:r>
    </w:p>
    <w:p>
      <w:pPr>
        <w:ind w:firstLine="480" w:firstLineChars="200"/>
        <w:rPr>
          <w:rFonts w:ascii="彩虹粗仿宋" w:hAnsi="宋体" w:eastAsia="彩虹粗仿宋"/>
          <w:b/>
          <w:sz w:val="24"/>
        </w:rPr>
      </w:pPr>
      <w:r>
        <w:rPr>
          <w:rFonts w:hint="eastAsia" w:ascii="彩虹粗仿宋" w:hAnsi="宋体" w:eastAsia="彩虹粗仿宋"/>
          <w:b/>
          <w:sz w:val="24"/>
        </w:rPr>
        <w:t>4.如甲方或支付机构向乙方传送的银行卡号、手机号码等信息有误，导致乙方不能按约定扣划资金或致使甲方及支付机构发生损失的，乙方不承担责任，由甲方与支付机构协商解决。</w:t>
      </w:r>
    </w:p>
    <w:p>
      <w:pPr>
        <w:ind w:firstLine="480" w:firstLineChars="200"/>
        <w:rPr>
          <w:rFonts w:ascii="彩虹粗仿宋" w:hAnsi="宋体" w:eastAsia="彩虹粗仿宋"/>
          <w:sz w:val="24"/>
        </w:rPr>
      </w:pPr>
      <w:r>
        <w:rPr>
          <w:rFonts w:hint="eastAsia" w:ascii="彩虹粗仿宋" w:hAnsi="宋体" w:eastAsia="彩虹粗仿宋"/>
          <w:sz w:val="24"/>
        </w:rPr>
        <w:t>第五条 法律适用</w:t>
      </w:r>
    </w:p>
    <w:p>
      <w:pPr>
        <w:ind w:firstLine="480" w:firstLineChars="200"/>
        <w:rPr>
          <w:rFonts w:ascii="彩虹粗仿宋" w:hAnsi="宋体" w:eastAsia="彩虹粗仿宋"/>
          <w:b/>
          <w:sz w:val="24"/>
        </w:rPr>
      </w:pPr>
      <w:r>
        <w:rPr>
          <w:rFonts w:hint="eastAsia" w:ascii="彩虹粗仿宋" w:hAnsi="宋体" w:eastAsia="彩虹粗仿宋"/>
          <w:sz w:val="24"/>
        </w:rPr>
        <w:t>协议内各方在履行本协议的过程中如发生争议，应协商解决；</w:t>
      </w:r>
      <w:r>
        <w:rPr>
          <w:rFonts w:hint="eastAsia" w:ascii="彩虹粗仿宋" w:hAnsi="宋体" w:eastAsia="彩虹粗仿宋"/>
          <w:b/>
          <w:sz w:val="24"/>
        </w:rPr>
        <w:t>协商不成的，向乙方住所地人民法院提起诉讼。</w:t>
      </w:r>
    </w:p>
    <w:p>
      <w:pPr>
        <w:ind w:firstLine="480" w:firstLineChars="200"/>
        <w:rPr>
          <w:rFonts w:ascii="彩虹粗仿宋" w:hAnsi="宋体" w:eastAsia="彩虹粗仿宋"/>
          <w:sz w:val="24"/>
        </w:rPr>
      </w:pPr>
      <w:r>
        <w:rPr>
          <w:rFonts w:hint="eastAsia" w:ascii="彩虹粗仿宋" w:hAnsi="宋体" w:eastAsia="彩虹粗仿宋"/>
          <w:sz w:val="24"/>
        </w:rPr>
        <w:t>本协议适用中华人民共和国法律。</w:t>
      </w:r>
    </w:p>
    <w:p>
      <w:pPr>
        <w:ind w:firstLine="480" w:firstLineChars="200"/>
        <w:rPr>
          <w:rFonts w:ascii="彩虹粗仿宋" w:hAnsi="宋体" w:eastAsia="彩虹粗仿宋"/>
          <w:sz w:val="24"/>
        </w:rPr>
      </w:pPr>
      <w:r>
        <w:rPr>
          <w:rFonts w:hint="eastAsia" w:ascii="彩虹粗仿宋" w:hAnsi="宋体" w:eastAsia="彩虹粗仿宋"/>
          <w:sz w:val="24"/>
        </w:rPr>
        <w:t>第六条 不可抗力</w:t>
      </w:r>
    </w:p>
    <w:p>
      <w:pPr>
        <w:ind w:firstLine="480" w:firstLineChars="200"/>
        <w:rPr>
          <w:rFonts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ind w:firstLine="480" w:firstLineChars="200"/>
        <w:rPr>
          <w:rFonts w:ascii="彩虹粗仿宋" w:hAnsi="宋体" w:eastAsia="彩虹粗仿宋"/>
          <w:sz w:val="24"/>
        </w:rPr>
      </w:pPr>
      <w:r>
        <w:rPr>
          <w:rFonts w:hint="eastAsia" w:ascii="彩虹粗仿宋" w:hAnsi="宋体" w:eastAsia="彩虹粗仿宋"/>
          <w:sz w:val="24"/>
        </w:rPr>
        <w:t>第七条 协议签署与终止</w:t>
      </w:r>
    </w:p>
    <w:p>
      <w:pPr>
        <w:ind w:firstLine="480" w:firstLineChars="200"/>
        <w:rPr>
          <w:rFonts w:ascii="彩虹粗仿宋" w:hAnsi="宋体" w:eastAsia="彩虹粗仿宋"/>
          <w:b/>
          <w:sz w:val="24"/>
        </w:rPr>
      </w:pPr>
      <w:r>
        <w:rPr>
          <w:rFonts w:hint="eastAsia" w:ascii="彩虹粗仿宋" w:hAnsi="宋体" w:eastAsia="彩虹粗仿宋"/>
          <w:b/>
          <w:sz w:val="24"/>
        </w:rPr>
        <w:t>本协议经甲方在支付机构或二级商户互联网等渠道展示本协议的页面点击“同意”或“提交”按钮后生效。</w:t>
      </w:r>
    </w:p>
    <w:p>
      <w:pPr>
        <w:ind w:firstLine="480" w:firstLineChars="200"/>
        <w:rPr>
          <w:rFonts w:ascii="彩虹粗仿宋" w:hAnsi="宋体" w:eastAsia="彩虹粗仿宋"/>
          <w:b/>
          <w:sz w:val="24"/>
        </w:rPr>
      </w:pPr>
      <w:r>
        <w:rPr>
          <w:rFonts w:hint="eastAsia" w:ascii="彩虹粗仿宋" w:hAnsi="宋体" w:eastAsia="彩虹粗仿宋"/>
          <w:b/>
          <w:sz w:val="24"/>
        </w:rPr>
        <w:t>“快捷支付”签约关系一旦解除，本协议即告终止。协议终止前已发送乙方处理的交易指令仍有效，甲方应承担相应后果。如因签约卡/折注销、补（换）卡/折等原因导致卡/折号变更，甲方须重新签订"快捷支付"签约关系。</w:t>
      </w:r>
    </w:p>
    <w:p>
      <w:pPr>
        <w:ind w:firstLine="480" w:firstLineChars="200"/>
        <w:rPr>
          <w:rFonts w:ascii="彩虹粗仿宋" w:hAnsi="宋体" w:eastAsia="彩虹粗仿宋"/>
          <w:b/>
          <w:sz w:val="24"/>
        </w:rPr>
      </w:pPr>
      <w:r>
        <w:rPr>
          <w:rFonts w:hint="eastAsia" w:ascii="彩虹粗仿宋" w:hAnsi="宋体" w:eastAsia="彩虹粗仿宋"/>
          <w:b/>
          <w:sz w:val="24"/>
        </w:rPr>
        <w:t>特别提示：如客户对建设银行产品或服务有任何疑问、意见或建议，可通过拨打建设银行95533客户服务与投诉热线咨询与反映。</w:t>
      </w:r>
    </w:p>
    <w:p>
      <w:pPr>
        <w:ind w:firstLine="480" w:firstLineChars="200"/>
        <w:rPr>
          <w:rFonts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altName w:val="微软雅黑"/>
    <w:panose1 w:val="03000509000000000000"/>
    <w:charset w:val="86"/>
    <w:family w:val="script"/>
    <w:pitch w:val="default"/>
    <w:sig w:usb0="00000000" w:usb1="00000000" w:usb2="00000010" w:usb3="00000000" w:csb0="00040000" w:csb1="00000000"/>
  </w:font>
  <w:font w:name="彩虹黑体">
    <w:altName w:val="黑体"/>
    <w:panose1 w:val="03000509000000000000"/>
    <w:charset w:val="86"/>
    <w:family w:val="script"/>
    <w:pitch w:val="default"/>
    <w:sig w:usb0="00000000" w:usb1="00000000" w:usb2="00000010" w:usb3="00000000" w:csb0="00040000" w:csb1="00000000"/>
  </w:font>
  <w:font w:name="彩虹粗仿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FA524A9"/>
    <w:multiLevelType w:val="multilevel"/>
    <w:tmpl w:val="4FA524A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0ZDU2Mzc0NWI1NzUxMWRhN2RiOGQwMzE0MjM4N2EifQ=="/>
  </w:docVars>
  <w:rsids>
    <w:rsidRoot w:val="005F4270"/>
    <w:rsid w:val="00004C64"/>
    <w:rsid w:val="00030DF6"/>
    <w:rsid w:val="00042064"/>
    <w:rsid w:val="00042FAC"/>
    <w:rsid w:val="00056D26"/>
    <w:rsid w:val="0007702D"/>
    <w:rsid w:val="00077C9C"/>
    <w:rsid w:val="000872DB"/>
    <w:rsid w:val="000A0A5D"/>
    <w:rsid w:val="000A35F4"/>
    <w:rsid w:val="000A637D"/>
    <w:rsid w:val="000D4B26"/>
    <w:rsid w:val="000F728F"/>
    <w:rsid w:val="00111111"/>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85475"/>
    <w:rsid w:val="002A59ED"/>
    <w:rsid w:val="002B461A"/>
    <w:rsid w:val="002C5E17"/>
    <w:rsid w:val="002D543F"/>
    <w:rsid w:val="002E122B"/>
    <w:rsid w:val="002F089E"/>
    <w:rsid w:val="00302C14"/>
    <w:rsid w:val="00306D93"/>
    <w:rsid w:val="00320BA1"/>
    <w:rsid w:val="00372D04"/>
    <w:rsid w:val="00380A79"/>
    <w:rsid w:val="00384287"/>
    <w:rsid w:val="003A6951"/>
    <w:rsid w:val="003C0D6F"/>
    <w:rsid w:val="003C301C"/>
    <w:rsid w:val="003D1C17"/>
    <w:rsid w:val="003D2343"/>
    <w:rsid w:val="003F30E0"/>
    <w:rsid w:val="00404050"/>
    <w:rsid w:val="0040794F"/>
    <w:rsid w:val="00416B7F"/>
    <w:rsid w:val="00421916"/>
    <w:rsid w:val="00427CAE"/>
    <w:rsid w:val="00433807"/>
    <w:rsid w:val="00440905"/>
    <w:rsid w:val="00450A99"/>
    <w:rsid w:val="004530DD"/>
    <w:rsid w:val="00465279"/>
    <w:rsid w:val="00480254"/>
    <w:rsid w:val="00481034"/>
    <w:rsid w:val="004B0314"/>
    <w:rsid w:val="004B0E7E"/>
    <w:rsid w:val="004E3A13"/>
    <w:rsid w:val="004E518D"/>
    <w:rsid w:val="004E7A4C"/>
    <w:rsid w:val="004F77A3"/>
    <w:rsid w:val="00515510"/>
    <w:rsid w:val="00525610"/>
    <w:rsid w:val="00526464"/>
    <w:rsid w:val="005642DF"/>
    <w:rsid w:val="005766E5"/>
    <w:rsid w:val="005A050C"/>
    <w:rsid w:val="005B02F7"/>
    <w:rsid w:val="005B5086"/>
    <w:rsid w:val="005C07D5"/>
    <w:rsid w:val="005E66BF"/>
    <w:rsid w:val="005F4270"/>
    <w:rsid w:val="005F4CE9"/>
    <w:rsid w:val="005F5A5C"/>
    <w:rsid w:val="006007E9"/>
    <w:rsid w:val="00603172"/>
    <w:rsid w:val="00622CDE"/>
    <w:rsid w:val="006518F1"/>
    <w:rsid w:val="0068384A"/>
    <w:rsid w:val="006907E3"/>
    <w:rsid w:val="006C23B6"/>
    <w:rsid w:val="006C32D4"/>
    <w:rsid w:val="006C52BE"/>
    <w:rsid w:val="006C6DB8"/>
    <w:rsid w:val="006D521E"/>
    <w:rsid w:val="00704E0F"/>
    <w:rsid w:val="00706AB6"/>
    <w:rsid w:val="0073532B"/>
    <w:rsid w:val="00763987"/>
    <w:rsid w:val="007639A5"/>
    <w:rsid w:val="007662B8"/>
    <w:rsid w:val="007821CF"/>
    <w:rsid w:val="007E7C98"/>
    <w:rsid w:val="007F2310"/>
    <w:rsid w:val="007F2B12"/>
    <w:rsid w:val="00812BFF"/>
    <w:rsid w:val="00815F9A"/>
    <w:rsid w:val="008210A0"/>
    <w:rsid w:val="00827EEA"/>
    <w:rsid w:val="00836A75"/>
    <w:rsid w:val="00836F35"/>
    <w:rsid w:val="0086545B"/>
    <w:rsid w:val="00873253"/>
    <w:rsid w:val="008859CE"/>
    <w:rsid w:val="008B01F1"/>
    <w:rsid w:val="008D2A6C"/>
    <w:rsid w:val="008F02F6"/>
    <w:rsid w:val="00920EB4"/>
    <w:rsid w:val="00964EBF"/>
    <w:rsid w:val="00984A67"/>
    <w:rsid w:val="009A5CF3"/>
    <w:rsid w:val="009C77DB"/>
    <w:rsid w:val="009D1F99"/>
    <w:rsid w:val="009E0E9B"/>
    <w:rsid w:val="00A203B7"/>
    <w:rsid w:val="00A568A2"/>
    <w:rsid w:val="00A66F18"/>
    <w:rsid w:val="00A922F1"/>
    <w:rsid w:val="00AA504F"/>
    <w:rsid w:val="00AB4A2E"/>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4588E"/>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3843"/>
    <w:rsid w:val="00EB5E6D"/>
    <w:rsid w:val="00EC07D3"/>
    <w:rsid w:val="00EC6A55"/>
    <w:rsid w:val="00ED2EDF"/>
    <w:rsid w:val="00ED5172"/>
    <w:rsid w:val="00EE3133"/>
    <w:rsid w:val="00EF0877"/>
    <w:rsid w:val="00F207D8"/>
    <w:rsid w:val="00F22B2F"/>
    <w:rsid w:val="00F26270"/>
    <w:rsid w:val="00F305F7"/>
    <w:rsid w:val="00F44CD5"/>
    <w:rsid w:val="00F44FCB"/>
    <w:rsid w:val="00F544CF"/>
    <w:rsid w:val="00F6155D"/>
    <w:rsid w:val="00F61B9C"/>
    <w:rsid w:val="00F81538"/>
    <w:rsid w:val="00F8418A"/>
    <w:rsid w:val="00F927F1"/>
    <w:rsid w:val="00F94792"/>
    <w:rsid w:val="00FA0EF8"/>
    <w:rsid w:val="00FA4380"/>
    <w:rsid w:val="00FA53D1"/>
    <w:rsid w:val="00FC1F1B"/>
    <w:rsid w:val="00FD0459"/>
    <w:rsid w:val="00FF7260"/>
    <w:rsid w:val="0C7F319D"/>
    <w:rsid w:val="0ED143E2"/>
    <w:rsid w:val="36903CB5"/>
    <w:rsid w:val="46E24EBB"/>
    <w:rsid w:val="4ACE1EBC"/>
    <w:rsid w:val="4BE56A56"/>
    <w:rsid w:val="616F6F9C"/>
    <w:rsid w:val="65341D01"/>
    <w:rsid w:val="67E26578"/>
    <w:rsid w:val="690253F2"/>
    <w:rsid w:val="70D57EAE"/>
    <w:rsid w:val="7B4B0F8F"/>
    <w:rsid w:val="7EFA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kern w:val="0"/>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8"/>
    <w:semiHidden/>
    <w:unhideWhenUsed/>
    <w:qFormat/>
    <w:uiPriority w:val="99"/>
    <w:rPr>
      <w:b/>
      <w:bCs/>
    </w:rPr>
  </w:style>
  <w:style w:type="character" w:styleId="10">
    <w:name w:val="Strong"/>
    <w:basedOn w:val="9"/>
    <w:qFormat/>
    <w:uiPriority w:val="22"/>
    <w:rPr>
      <w:b/>
      <w:bCs/>
    </w:rPr>
  </w:style>
  <w:style w:type="character" w:styleId="11">
    <w:name w:val="annotation reference"/>
    <w:basedOn w:val="9"/>
    <w:semiHidden/>
    <w:unhideWhenUsed/>
    <w:qFormat/>
    <w:uiPriority w:val="99"/>
    <w:rPr>
      <w:sz w:val="21"/>
      <w:szCs w:val="21"/>
    </w:r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标题 2 Char"/>
    <w:basedOn w:val="9"/>
    <w:link w:val="2"/>
    <w:qFormat/>
    <w:uiPriority w:val="9"/>
    <w:rPr>
      <w:rFonts w:ascii="宋体" w:hAnsi="宋体" w:eastAsia="宋体" w:cs="宋体"/>
      <w:kern w:val="0"/>
      <w:sz w:val="24"/>
      <w:szCs w:val="24"/>
    </w:rPr>
  </w:style>
  <w:style w:type="paragraph" w:styleId="15">
    <w:name w:val="List Paragraph"/>
    <w:basedOn w:val="1"/>
    <w:qFormat/>
    <w:uiPriority w:val="34"/>
    <w:pPr>
      <w:ind w:firstLine="420" w:firstLineChars="200"/>
    </w:pPr>
  </w:style>
  <w:style w:type="character" w:customStyle="1" w:styleId="16">
    <w:name w:val="批注框文本 Char"/>
    <w:basedOn w:val="9"/>
    <w:link w:val="4"/>
    <w:semiHidden/>
    <w:qFormat/>
    <w:uiPriority w:val="99"/>
    <w:rPr>
      <w:sz w:val="18"/>
      <w:szCs w:val="18"/>
    </w:rPr>
  </w:style>
  <w:style w:type="character" w:customStyle="1" w:styleId="17">
    <w:name w:val="批注文字 Char"/>
    <w:basedOn w:val="9"/>
    <w:link w:val="3"/>
    <w:semiHidden/>
    <w:qFormat/>
    <w:uiPriority w:val="99"/>
  </w:style>
  <w:style w:type="character" w:customStyle="1" w:styleId="18">
    <w:name w:val="批注主题 Char"/>
    <w:basedOn w:val="17"/>
    <w:link w:val="7"/>
    <w:semiHidden/>
    <w:qFormat/>
    <w:uiPriority w:val="99"/>
    <w:rPr>
      <w:b/>
      <w:bCs/>
    </w:rPr>
  </w:style>
  <w:style w:type="character" w:customStyle="1" w:styleId="19">
    <w:name w:val="fontstyle01"/>
    <w:basedOn w:val="9"/>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C9240-2B34-4ED7-A2D7-49B9C37EE002}">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6</Pages>
  <Words>3032</Words>
  <Characters>3048</Characters>
  <Lines>21</Lines>
  <Paragraphs>6</Paragraphs>
  <TotalTime>85</TotalTime>
  <ScaleCrop>false</ScaleCrop>
  <LinksUpToDate>false</LinksUpToDate>
  <CharactersWithSpaces>3063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2024-06-03T01:33:00Z</dcterms:created>
  <dc:creator>ccb_cq</dc:creator>
  <cp:lastModifiedBy>huashao</cp:lastModifiedBy>
  <cp:lastPrinted>2019-11-22T05:54:00Z</cp:lastPrinted>
  <dcterms:modified xsi:type="dcterms:W3CDTF">2024-06-03T08:18:32Z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F96C7AC1673146B1B41E01C9EFD19BE4_13</vt:lpwstr>
  </property>
</Properties>
</file>